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827E37" w:rsidP="008F18C0">
      <w:pPr>
        <w:spacing w:after="0" w:line="240" w:lineRule="auto"/>
        <w:jc w:val="center"/>
        <w:rPr>
          <w:rFonts w:ascii="Times New Roman" w:eastAsia="Times New Roman" w:hAnsi="Times New Roman" w:cs="Times New Roman"/>
          <w:b/>
          <w:sz w:val="28"/>
          <w:szCs w:val="20"/>
        </w:rPr>
      </w:pPr>
      <w:bookmarkStart w:id="0" w:name="_GoBack"/>
      <w:bookmarkEnd w:id="0"/>
      <w:r>
        <w:rPr>
          <w:rFonts w:ascii="Times New Roman" w:eastAsia="Times New Roman" w:hAnsi="Times New Roman" w:cs="Times New Roman"/>
          <w:b/>
          <w:sz w:val="28"/>
          <w:szCs w:val="20"/>
        </w:rPr>
        <w:t>Līgums Nr. DMPK-17-2697-lī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827E3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8472E9">
        <w:rPr>
          <w:rFonts w:ascii="Times New Roman" w:eastAsia="Times New Roman" w:hAnsi="Times New Roman" w:cs="Times New Roman"/>
          <w:sz w:val="24"/>
          <w:szCs w:val="24"/>
        </w:rPr>
        <w:t>2017. gada “29</w:t>
      </w:r>
      <w:r w:rsidRPr="008F18C0">
        <w:rPr>
          <w:rFonts w:ascii="Times New Roman" w:eastAsia="Times New Roman" w:hAnsi="Times New Roman" w:cs="Times New Roman"/>
          <w:sz w:val="24"/>
          <w:szCs w:val="24"/>
        </w:rPr>
        <w:t>.”</w:t>
      </w:r>
      <w:r w:rsidR="008472E9">
        <w:rPr>
          <w:rFonts w:ascii="Times New Roman" w:eastAsia="Times New Roman" w:hAnsi="Times New Roman" w:cs="Times New Roman"/>
          <w:sz w:val="24"/>
          <w:szCs w:val="24"/>
        </w:rPr>
        <w:t>augustā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Pr="008A1DF3">
        <w:rPr>
          <w:rFonts w:ascii="Times New Roman" w:eastAsia="Times New Roman" w:hAnsi="Times New Roman" w:cs="Times New Roman"/>
          <w:sz w:val="24"/>
          <w:szCs w:val="24"/>
        </w:rPr>
        <w:t xml:space="preserve">kura rīkojas saskaņā ar </w:t>
      </w:r>
      <w:r w:rsidRPr="00BC6D05">
        <w:rPr>
          <w:rFonts w:ascii="Times New Roman" w:eastAsia="Times New Roman" w:hAnsi="Times New Roman" w:cs="Times New Roman"/>
          <w:sz w:val="24"/>
          <w:szCs w:val="24"/>
        </w:rPr>
        <w:t>26.09.2006. Rīgas domes nolikumu Nr.56 “Rīgas pašvaldības dzīvojamo māju pri</w:t>
      </w:r>
      <w:r>
        <w:rPr>
          <w:rFonts w:ascii="Times New Roman" w:eastAsia="Times New Roman" w:hAnsi="Times New Roman" w:cs="Times New Roman"/>
          <w:sz w:val="24"/>
          <w:szCs w:val="24"/>
        </w:rPr>
        <w:t>vatizācijas komisijas nolikums”,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sabiedrība ar ierobežotu atbildību „MERKO”</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priekšsēdētājs Uldis </w:t>
      </w:r>
      <w:proofErr w:type="spellStart"/>
      <w:r>
        <w:rPr>
          <w:rFonts w:ascii="Times New Roman" w:eastAsia="Times New Roman" w:hAnsi="Times New Roman" w:cs="Times New Roman"/>
          <w:sz w:val="24"/>
          <w:szCs w:val="24"/>
        </w:rPr>
        <w:t>Mežulis</w:t>
      </w:r>
      <w:proofErr w:type="spellEnd"/>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Brīvības</w:t>
      </w:r>
      <w:r w:rsidRPr="00D90581">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40-47, Rīga, LV - 105</w:t>
      </w:r>
      <w:r w:rsidRPr="00D90581">
        <w:rPr>
          <w:rFonts w:ascii="Times New Roman" w:eastAsia="Times New Roman" w:hAnsi="Times New Roman" w:cs="Times New Roman"/>
          <w:sz w:val="24"/>
          <w:szCs w:val="24"/>
        </w:rPr>
        <w:t>0</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 xml:space="preserve">1.1. Pasūtītājs uzdod un Izpildītājs apņemas veikt </w:t>
      </w:r>
      <w:r w:rsidR="00D63DE6" w:rsidRPr="00D63DE6">
        <w:rPr>
          <w:rFonts w:ascii="Times New Roman" w:hAnsi="Times New Roman" w:cs="Times New Roman"/>
          <w:color w:val="000000"/>
          <w:sz w:val="24"/>
          <w:szCs w:val="24"/>
        </w:rPr>
        <w:t>Rīgas Pārdaugavas izpilddirekcijas administratīvajā teritorijā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E94061" w:rsidRPr="00E94061">
        <w:rPr>
          <w:rFonts w:ascii="Times New Roman" w:hAnsi="Times New Roman" w:cs="Times New Roman"/>
          <w:color w:val="000000"/>
          <w:sz w:val="24"/>
          <w:szCs w:val="24"/>
        </w:rPr>
        <w:t xml:space="preserve">10330,58 (desmit tūkstoši trīs simti trīsdesmit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58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200,00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300,00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390,00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340,00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w:t>
      </w:r>
      <w:r w:rsidRPr="008F18C0">
        <w:rPr>
          <w:rFonts w:ascii="Times New Roman" w:eastAsia="Times New Roman" w:hAnsi="Times New Roman" w:cs="Times New Roman"/>
          <w:sz w:val="24"/>
          <w:szCs w:val="24"/>
        </w:rPr>
        <w:lastRenderedPageBreak/>
        <w:t xml:space="preserve">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5C1131" w:rsidRPr="00D63DE6">
        <w:rPr>
          <w:rFonts w:ascii="Times New Roman" w:hAnsi="Times New Roman" w:cs="Times New Roman"/>
          <w:color w:val="000000"/>
          <w:sz w:val="24"/>
          <w:szCs w:val="24"/>
        </w:rPr>
        <w:t xml:space="preserve">Rīgas Pārdaugavas izpilddirekcijas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9.5.  Līgums sastādīts latviešu valodā uz trijām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Pr>
          <w:rFonts w:ascii="Times New Roman" w:eastAsia="Times New Roman" w:hAnsi="Times New Roman" w:cs="Times New Roman"/>
          <w:sz w:val="24"/>
          <w:szCs w:val="24"/>
        </w:rPr>
        <w:t xml:space="preserve">zācijas komisija, </w:t>
      </w:r>
      <w:r>
        <w:rPr>
          <w:rFonts w:ascii="Times New Roman" w:eastAsia="Times New Roman" w:hAnsi="Times New Roman" w:cs="Times New Roman"/>
          <w:sz w:val="24"/>
          <w:szCs w:val="24"/>
        </w:rPr>
        <w:tab/>
        <w:t>„MERKO</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 Pērses iela 10/12, LV-1011,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Reģ.Nr.40003335702</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Reģ.Nr</w:t>
      </w:r>
      <w:proofErr w:type="spellEnd"/>
      <w:r w:rsidRPr="00D90581">
        <w:rPr>
          <w:rFonts w:ascii="Times New Roman" w:eastAsia="Times New Roman" w:hAnsi="Times New Roman" w:cs="Times New Roman"/>
          <w:sz w:val="24"/>
          <w:szCs w:val="24"/>
        </w:rPr>
        <w:t xml:space="preserve">. 90000037248                                 </w:t>
      </w:r>
      <w:r w:rsidRPr="00D90581">
        <w:rPr>
          <w:rFonts w:ascii="Times New Roman" w:eastAsia="Times New Roman" w:hAnsi="Times New Roman" w:cs="Times New Roman"/>
          <w:sz w:val="24"/>
          <w:szCs w:val="24"/>
        </w:rPr>
        <w:tab/>
      </w:r>
      <w:r>
        <w:rPr>
          <w:rFonts w:ascii="Times New Roman" w:eastAsia="Times New Roman" w:hAnsi="Times New Roman" w:cs="Times New Roman"/>
          <w:sz w:val="24"/>
          <w:szCs w:val="24"/>
        </w:rPr>
        <w:t>Brīvības</w:t>
      </w:r>
      <w:r w:rsidRPr="00D90581">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40-47, Rīga, LV - 105</w:t>
      </w:r>
      <w:r w:rsidRPr="00D90581">
        <w:rPr>
          <w:rFonts w:ascii="Times New Roman" w:eastAsia="Times New Roman" w:hAnsi="Times New Roman" w:cs="Times New Roman"/>
          <w:sz w:val="24"/>
          <w:szCs w:val="24"/>
        </w:rPr>
        <w:t>0</w:t>
      </w:r>
    </w:p>
    <w:p w:rsidR="005C1131" w:rsidRPr="00D90581" w:rsidRDefault="005C1131"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Nordea</w:t>
      </w:r>
      <w:proofErr w:type="spellEnd"/>
      <w:r w:rsidRPr="00D90581">
        <w:rPr>
          <w:rFonts w:ascii="Times New Roman" w:eastAsia="Times New Roman" w:hAnsi="Times New Roman" w:cs="Times New Roman"/>
          <w:sz w:val="24"/>
          <w:szCs w:val="24"/>
        </w:rPr>
        <w:t xml:space="preserve"> </w:t>
      </w:r>
      <w:proofErr w:type="spellStart"/>
      <w:r w:rsidRPr="00D90581">
        <w:rPr>
          <w:rFonts w:ascii="Times New Roman" w:eastAsia="Times New Roman" w:hAnsi="Times New Roman" w:cs="Times New Roman"/>
          <w:sz w:val="24"/>
          <w:szCs w:val="24"/>
        </w:rPr>
        <w:t>Bank</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w:t>
      </w:r>
      <w:r w:rsidRPr="00D90581">
        <w:rPr>
          <w:rFonts w:ascii="Times New Roman" w:eastAsia="Times New Roman" w:hAnsi="Times New Roman" w:cs="Times New Roman"/>
          <w:sz w:val="24"/>
          <w:szCs w:val="24"/>
        </w:rPr>
        <w:t xml:space="preserve"> Latvijas </w:t>
      </w:r>
      <w:proofErr w:type="spellStart"/>
      <w:r w:rsidRPr="00D90581">
        <w:rPr>
          <w:rFonts w:ascii="Times New Roman" w:eastAsia="Times New Roman" w:hAnsi="Times New Roman" w:cs="Times New Roman"/>
          <w:sz w:val="24"/>
          <w:szCs w:val="24"/>
        </w:rPr>
        <w:t>fil</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AS „</w:t>
      </w:r>
      <w:proofErr w:type="spellStart"/>
      <w:r>
        <w:rPr>
          <w:rFonts w:ascii="Times New Roman" w:eastAsia="Times New Roman" w:hAnsi="Times New Roman" w:cs="Times New Roman"/>
          <w:sz w:val="24"/>
          <w:szCs w:val="24"/>
        </w:rPr>
        <w:t>Swedbank</w:t>
      </w:r>
      <w:proofErr w:type="spellEnd"/>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NDEALV2X                           </w:t>
      </w:r>
      <w:r>
        <w:rPr>
          <w:rFonts w:ascii="Times New Roman" w:eastAsia="Times New Roman" w:hAnsi="Times New Roman" w:cs="Times New Roman"/>
          <w:sz w:val="24"/>
          <w:szCs w:val="24"/>
        </w:rPr>
        <w:t xml:space="preserve">        kods: HABALV22</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LV</w:t>
      </w:r>
      <w:r>
        <w:rPr>
          <w:rFonts w:ascii="Times New Roman" w:eastAsia="Times New Roman" w:hAnsi="Times New Roman" w:cs="Times New Roman"/>
          <w:sz w:val="24"/>
          <w:szCs w:val="24"/>
        </w:rPr>
        <w:t>91H</w:t>
      </w:r>
      <w:r w:rsidRPr="00D90581">
        <w:rPr>
          <w:rFonts w:ascii="Times New Roman" w:eastAsia="Times New Roman" w:hAnsi="Times New Roman" w:cs="Times New Roman"/>
          <w:sz w:val="24"/>
          <w:szCs w:val="24"/>
        </w:rPr>
        <w:t>A</w:t>
      </w:r>
      <w:r>
        <w:rPr>
          <w:rFonts w:ascii="Times New Roman" w:eastAsia="Times New Roman" w:hAnsi="Times New Roman" w:cs="Times New Roman"/>
          <w:sz w:val="24"/>
          <w:szCs w:val="24"/>
        </w:rPr>
        <w:t>BA</w:t>
      </w:r>
      <w:r w:rsidRPr="00D90581">
        <w:rPr>
          <w:rFonts w:ascii="Times New Roman" w:eastAsia="Times New Roman" w:hAnsi="Times New Roman" w:cs="Times New Roman"/>
          <w:sz w:val="24"/>
          <w:szCs w:val="24"/>
        </w:rPr>
        <w:t>00</w:t>
      </w:r>
      <w:r>
        <w:rPr>
          <w:rFonts w:ascii="Times New Roman" w:eastAsia="Times New Roman" w:hAnsi="Times New Roman" w:cs="Times New Roman"/>
          <w:sz w:val="24"/>
          <w:szCs w:val="24"/>
        </w:rPr>
        <w:t>01408033902</w:t>
      </w:r>
    </w:p>
    <w:p w:rsidR="005C1131" w:rsidRPr="00D90581" w:rsidRDefault="005C1131"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Pr>
          <w:rFonts w:ascii="Times New Roman" w:eastAsia="Times New Roman" w:hAnsi="Times New Roman" w:cs="Times New Roman"/>
          <w:sz w:val="24"/>
          <w:szCs w:val="24"/>
        </w:rPr>
        <w:t>priekšsēdētājs</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Pr>
          <w:rFonts w:ascii="Times New Roman" w:eastAsia="Times New Roman" w:hAnsi="Times New Roman" w:cs="Times New Roman"/>
          <w:sz w:val="24"/>
          <w:szCs w:val="24"/>
        </w:rPr>
        <w:tab/>
        <w:t xml:space="preserve">Uldis </w:t>
      </w:r>
      <w:proofErr w:type="spellStart"/>
      <w:r>
        <w:rPr>
          <w:rFonts w:ascii="Times New Roman" w:eastAsia="Times New Roman" w:hAnsi="Times New Roman" w:cs="Times New Roman"/>
          <w:sz w:val="24"/>
          <w:szCs w:val="24"/>
        </w:rPr>
        <w:t>Mežulis</w:t>
      </w:r>
      <w:proofErr w:type="spellEnd"/>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516131"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D0D3F"/>
    <w:rsid w:val="00130AB3"/>
    <w:rsid w:val="00516131"/>
    <w:rsid w:val="005C1131"/>
    <w:rsid w:val="00827E37"/>
    <w:rsid w:val="008472E9"/>
    <w:rsid w:val="008F18C0"/>
    <w:rsid w:val="0098303D"/>
    <w:rsid w:val="00AC7AC9"/>
    <w:rsid w:val="00BF3922"/>
    <w:rsid w:val="00D63DE6"/>
    <w:rsid w:val="00E9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5750</Words>
  <Characters>3279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2017-08-28T14:13:00Z</cp:lastPrinted>
  <dcterms:created xsi:type="dcterms:W3CDTF">2018-07-27T09:17:00Z</dcterms:created>
  <dcterms:modified xsi:type="dcterms:W3CDTF">2018-07-27T09:17:00Z</dcterms:modified>
</cp:coreProperties>
</file>